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800" w:lineRule="exact"/>
        <w:jc w:val="center"/>
        <w:rPr>
          <w:rFonts w:hint="eastAsia" w:ascii="Times New Roman" w:eastAsia="Times New Roman"/>
          <w:color w:val="FF0000"/>
          <w:w w:val="75"/>
          <w:sz w:val="140"/>
          <w:szCs w:val="24"/>
        </w:rPr>
      </w:pPr>
      <w:bookmarkStart w:id="0" w:name="_GoBack"/>
      <w:bookmarkEnd w:id="0"/>
      <w:r>
        <w:rPr>
          <w:rFonts w:hint="default" w:hAnsi="宋体"/>
          <w:b/>
          <w:color w:val="FF0000"/>
          <w:spacing w:val="20"/>
          <w:w w:val="80"/>
          <w:kern w:val="2"/>
          <w:sz w:val="100"/>
          <w:szCs w:val="24"/>
        </w:rPr>
        <w:t>台州科技职业学院</w:t>
      </w:r>
    </w:p>
    <w:p>
      <w:pPr>
        <w:widowControl/>
        <w:snapToGrid w:val="0"/>
        <w:spacing w:line="520" w:lineRule="exact"/>
        <w:jc w:val="center"/>
        <w:rPr>
          <w:rFonts w:hint="default" w:hAnsi="宋体"/>
          <w:b/>
          <w:snapToGrid w:val="0"/>
          <w:color w:val="4A4A4A"/>
          <w:sz w:val="44"/>
          <w:szCs w:val="24"/>
        </w:rPr>
      </w:pPr>
      <w:r>
        <w:rPr>
          <w:rFonts w:hint="default" w:hAnsi="宋体"/>
          <w:color w:val="FF0000"/>
          <w:sz w:val="32"/>
          <w:szCs w:val="24"/>
        </w:rPr>
        <w:t>━━━━━━━━━━━━━━━━━━━━━━</w:t>
      </w:r>
    </w:p>
    <w:p>
      <w:pPr>
        <w:snapToGrid w:val="0"/>
        <w:spacing w:line="360" w:lineRule="auto"/>
        <w:ind w:firstLine="640" w:firstLineChars="200"/>
        <w:jc w:val="center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Times New Roman" w:eastAsia="仿宋_GB2312"/>
          <w:sz w:val="32"/>
          <w:szCs w:val="24"/>
        </w:rPr>
        <w:t xml:space="preserve">                     </w:t>
      </w:r>
      <w:r>
        <w:rPr>
          <w:rFonts w:hint="eastAsia" w:ascii="仿宋_GB2312" w:hAnsi="仿宋_GB2312" w:eastAsia="仿宋_GB2312"/>
          <w:sz w:val="32"/>
          <w:szCs w:val="24"/>
        </w:rPr>
        <w:t>教务处〔2023〕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42</w:t>
      </w:r>
      <w:r>
        <w:rPr>
          <w:rFonts w:hint="eastAsia" w:ascii="仿宋_GB2312" w:hAnsi="仿宋_GB2312" w:eastAsia="仿宋_GB2312"/>
          <w:sz w:val="32"/>
          <w:szCs w:val="24"/>
        </w:rPr>
        <w:t>号</w:t>
      </w:r>
    </w:p>
    <w:p>
      <w:pPr>
        <w:pStyle w:val="2"/>
        <w:kinsoku w:val="0"/>
        <w:overflowPunct w:val="0"/>
        <w:spacing w:line="700" w:lineRule="exact"/>
        <w:ind w:left="0"/>
        <w:jc w:val="center"/>
        <w:rPr>
          <w:rFonts w:hint="eastAsia" w:ascii="Times New Roman" w:hAnsi="Times New Roman" w:eastAsia="Times New Roman"/>
          <w:color w:val="000000"/>
          <w:kern w:val="2"/>
          <w:sz w:val="44"/>
          <w:szCs w:val="24"/>
        </w:rPr>
      </w:pPr>
    </w:p>
    <w:p>
      <w:pPr>
        <w:autoSpaceDE/>
        <w:autoSpaceDN/>
        <w:adjustRightInd/>
        <w:jc w:val="center"/>
        <w:rPr>
          <w:rFonts w:hint="eastAsia" w:ascii="微软雅黑" w:hAnsi="微软雅黑" w:eastAsia="微软雅黑"/>
          <w:kern w:val="2"/>
          <w:sz w:val="44"/>
          <w:szCs w:val="24"/>
        </w:rPr>
      </w:pPr>
      <w:r>
        <w:rPr>
          <w:rFonts w:hint="eastAsia" w:ascii="微软雅黑" w:hAnsi="微软雅黑" w:eastAsia="微软雅黑"/>
          <w:kern w:val="2"/>
          <w:sz w:val="44"/>
          <w:szCs w:val="24"/>
        </w:rPr>
        <w:t>关于开展对2022-2023学年第</w:t>
      </w:r>
      <w:r>
        <w:rPr>
          <w:rFonts w:hint="eastAsia" w:ascii="微软雅黑" w:hAnsi="微软雅黑" w:eastAsia="微软雅黑"/>
          <w:kern w:val="2"/>
          <w:sz w:val="44"/>
          <w:szCs w:val="24"/>
          <w:lang w:val="en-US" w:eastAsia="zh-CN"/>
        </w:rPr>
        <w:t>二</w:t>
      </w:r>
      <w:r>
        <w:rPr>
          <w:rFonts w:hint="eastAsia" w:ascii="微软雅黑" w:hAnsi="微软雅黑" w:eastAsia="微软雅黑"/>
          <w:kern w:val="2"/>
          <w:sz w:val="44"/>
          <w:szCs w:val="24"/>
        </w:rPr>
        <w:t>学期</w:t>
      </w:r>
    </w:p>
    <w:p>
      <w:pPr>
        <w:autoSpaceDE/>
        <w:autoSpaceDN/>
        <w:adjustRightInd/>
        <w:jc w:val="center"/>
        <w:rPr>
          <w:rFonts w:hint="eastAsia" w:ascii="微软雅黑" w:hAnsi="微软雅黑" w:eastAsia="微软雅黑"/>
          <w:kern w:val="2"/>
          <w:sz w:val="44"/>
          <w:szCs w:val="24"/>
        </w:rPr>
      </w:pPr>
      <w:r>
        <w:rPr>
          <w:rFonts w:hint="eastAsia" w:ascii="微软雅黑" w:hAnsi="微软雅黑" w:eastAsia="微软雅黑"/>
          <w:kern w:val="2"/>
          <w:sz w:val="44"/>
          <w:szCs w:val="24"/>
        </w:rPr>
        <w:t>期末考试相关材料专项检查的通知</w:t>
      </w:r>
    </w:p>
    <w:p>
      <w:pPr>
        <w:widowControl/>
        <w:autoSpaceDE/>
        <w:autoSpaceDN/>
        <w:spacing w:line="360" w:lineRule="auto"/>
        <w:jc w:val="both"/>
        <w:rPr>
          <w:rFonts w:hint="eastAsia" w:ascii="Times New Roman" w:eastAsia="仿宋_GB2312"/>
          <w:color w:val="000000"/>
          <w:sz w:val="32"/>
          <w:szCs w:val="24"/>
        </w:rPr>
      </w:pPr>
    </w:p>
    <w:p>
      <w:pPr>
        <w:autoSpaceDE/>
        <w:autoSpaceDN/>
        <w:snapToGrid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各二级学院、各职能部门：</w:t>
      </w:r>
    </w:p>
    <w:p>
      <w:pPr>
        <w:autoSpaceDE/>
        <w:autoSpaceDN/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为切实推进“双高建设”，根据学校《党建统领 深化改革 协同创新  全面推进浙江省特色鲜明的高水平高职院校建设》（中国共产党台州科技职业学院第二届代表大会第三次会议上的报告）精神，对照《台州科技职业学院内部质量保证体系诊断与改进工作实施办法（试行）》（台科院〔2019〕26号）等文件规定，规范课程考核，严格成绩管理，提高课程教学的有效性，客观、准确地检验教和学的效果，推进考纪考风建设，使考核工作进一步科学化和规范化。经研究决定，开展2022-2023学年第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二</w:t>
      </w:r>
      <w:r>
        <w:rPr>
          <w:rFonts w:hint="eastAsia" w:ascii="仿宋_GB2312" w:eastAsia="仿宋_GB2312"/>
          <w:kern w:val="2"/>
          <w:sz w:val="32"/>
          <w:szCs w:val="24"/>
        </w:rPr>
        <w:t>学期期末考试相关材料专项检查，现将有关事项通知如下，请认真抓好落实。</w:t>
      </w:r>
    </w:p>
    <w:p>
      <w:pPr>
        <w:widowControl/>
        <w:autoSpaceDE/>
        <w:autoSpaceDN/>
        <w:spacing w:line="360" w:lineRule="auto"/>
        <w:ind w:firstLine="640" w:firstLineChars="200"/>
        <w:jc w:val="both"/>
        <w:rPr>
          <w:rFonts w:hint="eastAsia" w:ascii="黑体" w:hAnsi="黑体" w:eastAsia="黑体"/>
          <w:color w:val="000000"/>
          <w:sz w:val="32"/>
          <w:szCs w:val="24"/>
        </w:rPr>
      </w:pPr>
      <w:r>
        <w:rPr>
          <w:rFonts w:hint="eastAsia" w:ascii="黑体" w:hAnsi="黑体" w:eastAsia="黑体"/>
          <w:color w:val="000000"/>
          <w:sz w:val="32"/>
          <w:szCs w:val="24"/>
        </w:rPr>
        <w:t>一、二级学院自查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1.排考时间按照当年校历进行，《期末考试试场及监考教师考试日程表》包括考试科目、日期、时间、地点、主考教师、 副主考、每个考场两位监考教师等，其中任课教师不得作为本班级课程考核监考教师，在考前一个月报教务处备案。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2.命题试卷、标准答案或评分标准。其各课程试卷库在考前一个月上报教务处。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3.严格按照专业人才培养方案、课程标准的要求组织实施，每一份试卷题目重复不得超过30%。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4.《考试（考查）试卷命题审核表》《考试（考查）试卷审核汇总表》《教考分离课程基本信息汇总表》。在考前一个月报教务处备案。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Times New Roman" w:eastAsia="仿宋_GB2312"/>
          <w:color w:val="000000"/>
          <w:sz w:val="32"/>
          <w:szCs w:val="24"/>
          <w:lang w:eastAsia="zh-CN"/>
        </w:rPr>
      </w:pPr>
      <w:r>
        <w:rPr>
          <w:rFonts w:hint="eastAsia" w:ascii="仿宋_GB2312" w:eastAsia="仿宋_GB2312"/>
          <w:kern w:val="2"/>
          <w:sz w:val="32"/>
          <w:szCs w:val="24"/>
        </w:rPr>
        <w:t>5.试卷批改情况、成绩登记上报平台等</w:t>
      </w:r>
      <w:r>
        <w:rPr>
          <w:rFonts w:hint="eastAsia" w:ascii="仿宋_GB2312" w:eastAsia="仿宋_GB2312"/>
          <w:kern w:val="2"/>
          <w:sz w:val="32"/>
          <w:szCs w:val="24"/>
          <w:lang w:eastAsia="zh-CN"/>
        </w:rPr>
        <w:t>。</w:t>
      </w:r>
    </w:p>
    <w:p>
      <w:pPr>
        <w:widowControl/>
        <w:autoSpaceDE/>
        <w:autoSpaceDN/>
        <w:spacing w:line="360" w:lineRule="auto"/>
        <w:ind w:firstLine="640" w:firstLineChars="200"/>
        <w:jc w:val="both"/>
        <w:rPr>
          <w:rFonts w:hint="eastAsia" w:ascii="黑体" w:hAnsi="黑体" w:eastAsia="黑体"/>
          <w:color w:val="000000"/>
          <w:sz w:val="32"/>
          <w:szCs w:val="24"/>
        </w:rPr>
      </w:pPr>
      <w:r>
        <w:rPr>
          <w:rFonts w:hint="eastAsia" w:ascii="黑体" w:hAnsi="黑体" w:eastAsia="黑体"/>
          <w:color w:val="000000"/>
          <w:sz w:val="32"/>
          <w:szCs w:val="24"/>
        </w:rPr>
        <w:t>二、学校检查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</w:rPr>
        <w:t>学校成立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三</w:t>
      </w:r>
      <w:r>
        <w:rPr>
          <w:rFonts w:hint="eastAsia" w:ascii="仿宋_GB2312" w:eastAsia="仿宋_GB2312"/>
          <w:kern w:val="2"/>
          <w:sz w:val="32"/>
          <w:szCs w:val="24"/>
        </w:rPr>
        <w:t>个检查组（分组安排见附件1），在本学期第七周（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9</w:t>
      </w:r>
      <w:r>
        <w:rPr>
          <w:rFonts w:hint="eastAsia" w:ascii="仿宋_GB2312" w:eastAsia="仿宋_GB2312"/>
          <w:kern w:val="2"/>
          <w:sz w:val="32"/>
          <w:szCs w:val="24"/>
        </w:rPr>
        <w:t>月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18</w:t>
      </w:r>
      <w:r>
        <w:rPr>
          <w:rFonts w:hint="eastAsia" w:ascii="仿宋_GB2312" w:eastAsia="仿宋_GB2312"/>
          <w:kern w:val="2"/>
          <w:sz w:val="32"/>
          <w:szCs w:val="24"/>
        </w:rPr>
        <w:t>日—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24</w:t>
      </w:r>
      <w:r>
        <w:rPr>
          <w:rFonts w:hint="eastAsia" w:ascii="仿宋_GB2312" w:eastAsia="仿宋_GB2312"/>
          <w:kern w:val="2"/>
          <w:sz w:val="32"/>
          <w:szCs w:val="24"/>
        </w:rPr>
        <w:t>日），由各组组长带队到所联系的二级学院检查期末考试相关材料。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24"/>
        </w:rPr>
        <w:t>1.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严格检查本学期所有开设课程的考试相关材料；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2.</w:t>
      </w:r>
      <w:r>
        <w:rPr>
          <w:rFonts w:hint="eastAsia" w:ascii="仿宋_GB2312" w:eastAsia="仿宋_GB2312"/>
          <w:kern w:val="2"/>
          <w:sz w:val="32"/>
          <w:szCs w:val="24"/>
        </w:rPr>
        <w:t>随机抽取每个专业、各年级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五</w:t>
      </w:r>
      <w:r>
        <w:rPr>
          <w:rFonts w:hint="eastAsia" w:ascii="仿宋_GB2312" w:eastAsia="仿宋_GB2312"/>
          <w:kern w:val="2"/>
          <w:sz w:val="32"/>
          <w:szCs w:val="24"/>
        </w:rPr>
        <w:t>门课程的期末考试相关材料进行核查；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3</w:t>
      </w:r>
      <w:r>
        <w:rPr>
          <w:rFonts w:hint="eastAsia" w:ascii="仿宋_GB2312" w:eastAsia="仿宋_GB2312"/>
          <w:kern w:val="2"/>
          <w:sz w:val="32"/>
          <w:szCs w:val="24"/>
        </w:rPr>
        <w:t>.上交抽到的课程的试卷库试卷</w:t>
      </w:r>
      <w:r>
        <w:rPr>
          <w:rFonts w:hint="eastAsia" w:ascii="仿宋_GB2312" w:eastAsia="仿宋_GB2312"/>
          <w:kern w:val="2"/>
          <w:sz w:val="32"/>
          <w:szCs w:val="24"/>
          <w:lang w:eastAsia="zh-CN"/>
        </w:rPr>
        <w:t>（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每门课至少5份以上)</w:t>
      </w:r>
      <w:r>
        <w:rPr>
          <w:rFonts w:hint="eastAsia" w:ascii="仿宋_GB2312" w:eastAsia="仿宋_GB2312"/>
          <w:kern w:val="2"/>
          <w:sz w:val="32"/>
          <w:szCs w:val="24"/>
        </w:rPr>
        <w:t>；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4</w:t>
      </w:r>
      <w:r>
        <w:rPr>
          <w:rFonts w:hint="eastAsia" w:ascii="仿宋_GB2312" w:eastAsia="仿宋_GB2312"/>
          <w:kern w:val="2"/>
          <w:sz w:val="32"/>
          <w:szCs w:val="24"/>
        </w:rPr>
        <w:t>.听取二级学院关于期末考试相关材料自查的汇报；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</w:rPr>
      </w:pP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5</w:t>
      </w:r>
      <w:r>
        <w:rPr>
          <w:rFonts w:hint="eastAsia" w:ascii="仿宋_GB2312" w:eastAsia="仿宋_GB2312"/>
          <w:kern w:val="2"/>
          <w:sz w:val="32"/>
          <w:szCs w:val="24"/>
        </w:rPr>
        <w:t>.检查组反馈期末考试相关材料抽查情况；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24"/>
          <w:lang w:eastAsia="zh-CN"/>
        </w:rPr>
      </w:pP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6</w:t>
      </w:r>
      <w:r>
        <w:rPr>
          <w:rFonts w:hint="eastAsia" w:ascii="仿宋_GB2312" w:eastAsia="仿宋_GB2312"/>
          <w:kern w:val="2"/>
          <w:sz w:val="32"/>
          <w:szCs w:val="24"/>
        </w:rPr>
        <w:t>.各检查组于活动结束后，由各组记录人负责整理、汇总形成检查报告，于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9</w:t>
      </w:r>
      <w:r>
        <w:rPr>
          <w:rFonts w:hint="eastAsia" w:ascii="仿宋_GB2312" w:eastAsia="仿宋_GB2312"/>
          <w:kern w:val="2"/>
          <w:sz w:val="32"/>
          <w:szCs w:val="24"/>
        </w:rPr>
        <w:t>月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28</w:t>
      </w:r>
      <w:r>
        <w:rPr>
          <w:rFonts w:hint="eastAsia" w:ascii="仿宋_GB2312" w:eastAsia="仿宋_GB2312"/>
          <w:kern w:val="2"/>
          <w:sz w:val="32"/>
          <w:szCs w:val="24"/>
        </w:rPr>
        <w:t>日前发给教务处徐微雅老师</w:t>
      </w: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；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default" w:ascii="仿宋_GB2312" w:eastAsia="仿宋_GB2312"/>
          <w:kern w:val="2"/>
          <w:sz w:val="32"/>
          <w:szCs w:val="24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24"/>
          <w:lang w:val="en-US" w:eastAsia="zh-CN"/>
        </w:rPr>
        <w:t>7.上交材料所有课程的试卷库试卷。以教研室为单位上交二级学院，由二级学院上交教务处徐微雅老师。</w:t>
      </w:r>
    </w:p>
    <w:p>
      <w:pPr>
        <w:widowControl/>
        <w:autoSpaceDE/>
        <w:autoSpaceDN/>
        <w:spacing w:line="360" w:lineRule="auto"/>
        <w:ind w:firstLine="640" w:firstLineChars="200"/>
        <w:jc w:val="both"/>
        <w:rPr>
          <w:rFonts w:hint="eastAsia" w:ascii="Times New Roman" w:eastAsia="仿宋_GB2312"/>
          <w:color w:val="000000"/>
          <w:sz w:val="32"/>
          <w:szCs w:val="24"/>
        </w:rPr>
      </w:pPr>
    </w:p>
    <w:p>
      <w:pPr>
        <w:widowControl/>
        <w:autoSpaceDE/>
        <w:autoSpaceDN/>
        <w:spacing w:line="360" w:lineRule="auto"/>
        <w:ind w:firstLine="640" w:firstLineChars="200"/>
        <w:jc w:val="both"/>
        <w:rPr>
          <w:rFonts w:hint="eastAsia" w:ascii="Times New Roman" w:eastAsia="Times New Roman"/>
          <w:color w:val="000000"/>
          <w:sz w:val="32"/>
          <w:szCs w:val="24"/>
        </w:rPr>
      </w:pP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24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24"/>
        </w:rPr>
        <w:t>附件1：2022-2023学年第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/>
        </w:rPr>
        <w:t>二</w:t>
      </w:r>
      <w:r>
        <w:rPr>
          <w:rFonts w:hint="eastAsia" w:ascii="仿宋_GB2312" w:eastAsia="仿宋_GB2312" w:cs="Times New Roman"/>
          <w:kern w:val="2"/>
          <w:sz w:val="32"/>
          <w:szCs w:val="24"/>
        </w:rPr>
        <w:t>学期期末考试相关材料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/>
        </w:rPr>
        <w:t>准备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24"/>
        </w:rPr>
      </w:pPr>
      <w:r>
        <w:rPr>
          <w:rFonts w:hint="eastAsia" w:ascii="仿宋_GB2312" w:eastAsia="仿宋_GB2312" w:cs="Times New Roman"/>
          <w:kern w:val="2"/>
          <w:sz w:val="32"/>
          <w:szCs w:val="24"/>
        </w:rPr>
        <w:t>附件2：2022-2023学年第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/>
        </w:rPr>
        <w:t>二</w:t>
      </w:r>
      <w:r>
        <w:rPr>
          <w:rFonts w:hint="eastAsia" w:ascii="仿宋_GB2312" w:eastAsia="仿宋_GB2312" w:cs="Times New Roman"/>
          <w:kern w:val="2"/>
          <w:sz w:val="32"/>
          <w:szCs w:val="24"/>
        </w:rPr>
        <w:t>学期期末考试相关材料专项检查情况汇总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24"/>
        </w:rPr>
      </w:pPr>
      <w:r>
        <w:rPr>
          <w:rFonts w:hint="eastAsia" w:ascii="仿宋_GB2312" w:eastAsia="仿宋_GB2312" w:cs="Times New Roman"/>
          <w:kern w:val="2"/>
          <w:sz w:val="32"/>
          <w:szCs w:val="24"/>
        </w:rPr>
        <w:t>附件3：2022-2023学年第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/>
        </w:rPr>
        <w:t>二</w:t>
      </w:r>
      <w:r>
        <w:rPr>
          <w:rFonts w:hint="eastAsia" w:ascii="仿宋_GB2312" w:eastAsia="仿宋_GB2312" w:cs="Times New Roman"/>
          <w:kern w:val="2"/>
          <w:sz w:val="32"/>
          <w:szCs w:val="24"/>
        </w:rPr>
        <w:t>学期期末考试非纸质化考试课程情况汇总</w:t>
      </w:r>
    </w:p>
    <w:p>
      <w:pPr>
        <w:autoSpaceDE/>
        <w:autoSpaceDN/>
        <w:snapToGrid w:val="0"/>
        <w:spacing w:line="360" w:lineRule="auto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24"/>
        </w:rPr>
      </w:pPr>
      <w:r>
        <w:rPr>
          <w:rFonts w:hint="eastAsia" w:ascii="仿宋_GB2312" w:eastAsia="仿宋_GB2312" w:cs="Times New Roman"/>
          <w:kern w:val="2"/>
          <w:sz w:val="32"/>
          <w:szCs w:val="24"/>
        </w:rPr>
        <w:t>附件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/>
        </w:rPr>
        <w:t>4</w:t>
      </w:r>
      <w:r>
        <w:rPr>
          <w:rFonts w:hint="eastAsia" w:ascii="仿宋_GB2312" w:eastAsia="仿宋_GB2312" w:cs="Times New Roman"/>
          <w:kern w:val="2"/>
          <w:sz w:val="32"/>
          <w:szCs w:val="24"/>
        </w:rPr>
        <w:t>：2022-2023学年第</w:t>
      </w:r>
      <w:r>
        <w:rPr>
          <w:rFonts w:hint="eastAsia" w:ascii="仿宋_GB2312" w:eastAsia="仿宋_GB2312" w:cs="Times New Roman"/>
          <w:kern w:val="2"/>
          <w:sz w:val="32"/>
          <w:szCs w:val="24"/>
          <w:lang w:val="en-US" w:eastAsia="zh-CN"/>
        </w:rPr>
        <w:t>二</w:t>
      </w:r>
      <w:r>
        <w:rPr>
          <w:rFonts w:hint="eastAsia" w:ascii="仿宋_GB2312" w:eastAsia="仿宋_GB2312" w:cs="Times New Roman"/>
          <w:kern w:val="2"/>
          <w:sz w:val="32"/>
          <w:szCs w:val="24"/>
        </w:rPr>
        <w:t>学期期末考试相关材料专项检查分组安排</w:t>
      </w:r>
    </w:p>
    <w:p>
      <w:pPr>
        <w:widowControl/>
        <w:autoSpaceDE/>
        <w:autoSpaceDN/>
        <w:adjustRightInd/>
        <w:spacing w:line="360" w:lineRule="auto"/>
        <w:ind w:firstLine="640" w:firstLineChars="200"/>
        <w:jc w:val="both"/>
        <w:rPr>
          <w:rFonts w:hint="eastAsia" w:ascii="Times New Roman" w:eastAsia="Times New Roman"/>
          <w:color w:val="000000"/>
          <w:sz w:val="32"/>
          <w:szCs w:val="24"/>
        </w:rPr>
      </w:pPr>
    </w:p>
    <w:p>
      <w:pPr>
        <w:widowControl/>
        <w:autoSpaceDE/>
        <w:autoSpaceDN/>
        <w:adjustRightInd/>
        <w:spacing w:line="360" w:lineRule="auto"/>
        <w:ind w:firstLine="640" w:firstLineChars="200"/>
        <w:jc w:val="both"/>
        <w:rPr>
          <w:rFonts w:hint="eastAsia" w:ascii="Times New Roman" w:eastAsia="Times New Roman"/>
          <w:color w:val="000000"/>
          <w:sz w:val="32"/>
          <w:szCs w:val="24"/>
        </w:rPr>
      </w:pPr>
    </w:p>
    <w:p>
      <w:pPr>
        <w:widowControl/>
        <w:autoSpaceDE/>
        <w:autoSpaceDN/>
        <w:adjustRightInd/>
        <w:spacing w:line="360" w:lineRule="auto"/>
        <w:ind w:firstLine="640" w:firstLineChars="200"/>
        <w:jc w:val="both"/>
        <w:rPr>
          <w:rFonts w:hint="eastAsia" w:ascii="Times New Roman" w:eastAsia="Times New Roman"/>
          <w:color w:val="000000"/>
          <w:sz w:val="32"/>
          <w:szCs w:val="24"/>
        </w:rPr>
      </w:pPr>
    </w:p>
    <w:p>
      <w:pPr>
        <w:widowControl/>
        <w:autoSpaceDE/>
        <w:autoSpaceDN/>
        <w:adjustRightInd/>
        <w:spacing w:line="360" w:lineRule="auto"/>
        <w:ind w:firstLine="640" w:firstLineChars="200"/>
        <w:jc w:val="both"/>
        <w:rPr>
          <w:rFonts w:hint="eastAsia" w:ascii="Times New Roman" w:eastAsia="Times New Roman"/>
          <w:color w:val="000000"/>
          <w:sz w:val="32"/>
          <w:szCs w:val="24"/>
        </w:rPr>
      </w:pPr>
    </w:p>
    <w:p>
      <w:pPr>
        <w:widowControl/>
        <w:wordWrap w:val="0"/>
        <w:autoSpaceDE/>
        <w:autoSpaceDN/>
        <w:adjustRightInd/>
        <w:spacing w:line="360" w:lineRule="auto"/>
        <w:ind w:firstLine="3520" w:firstLineChars="1100"/>
        <w:jc w:val="both"/>
        <w:rPr>
          <w:rFonts w:hint="eastAsia" w:ascii="仿宋" w:hAnsi="仿宋" w:eastAsia="仿宋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教务处     教学督导与质量评估处　</w:t>
      </w:r>
    </w:p>
    <w:p>
      <w:pPr>
        <w:widowControl/>
        <w:wordWrap w:val="0"/>
        <w:autoSpaceDE/>
        <w:autoSpaceDN/>
        <w:adjustRightInd/>
        <w:spacing w:line="360" w:lineRule="auto"/>
        <w:ind w:firstLine="4800" w:firstLineChars="1500"/>
        <w:jc w:val="both"/>
        <w:rPr>
          <w:rFonts w:hint="eastAsia" w:ascii="Times New Roman" w:eastAsia="Times New Roman"/>
          <w:color w:val="000000"/>
          <w:sz w:val="32"/>
          <w:szCs w:val="24"/>
        </w:rPr>
      </w:pPr>
      <w:r>
        <w:rPr>
          <w:rFonts w:hint="eastAsia" w:ascii="仿宋" w:hAnsi="仿宋" w:eastAsia="仿宋"/>
          <w:color w:val="000000"/>
          <w:sz w:val="32"/>
          <w:szCs w:val="24"/>
        </w:rPr>
        <w:t>2023年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24"/>
        </w:rPr>
        <w:t>月</w:t>
      </w:r>
      <w:r>
        <w:rPr>
          <w:rFonts w:hint="eastAsia" w:ascii="仿宋" w:hAnsi="仿宋" w:eastAsia="仿宋"/>
          <w:color w:val="000000"/>
          <w:sz w:val="32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24"/>
        </w:rPr>
        <w:t>日</w:t>
      </w:r>
      <w:r>
        <w:rPr>
          <w:rFonts w:hint="eastAsia" w:ascii="Times New Roman" w:eastAsia="仿宋_GB2312"/>
          <w:color w:val="000000"/>
          <w:sz w:val="32"/>
          <w:szCs w:val="24"/>
        </w:rPr>
        <w:t>　　　　</w:t>
      </w: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  <w:sectPr>
          <w:footerReference r:id="rId3" w:type="default"/>
          <w:pgSz w:w="11910" w:h="16840"/>
          <w:pgMar w:top="1984" w:right="1474" w:bottom="2098" w:left="1587" w:header="0" w:footer="1661" w:gutter="0"/>
          <w:lnNumType w:countBy="0" w:distance="360"/>
          <w:cols w:space="720" w:num="1"/>
        </w:sectPr>
      </w:pPr>
    </w:p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附件1：</w:t>
      </w:r>
    </w:p>
    <w:p>
      <w:pPr>
        <w:pStyle w:val="5"/>
        <w:spacing w:beforeLines="0" w:after="312" w:afterLines="100" w:line="500" w:lineRule="exact"/>
        <w:jc w:val="center"/>
        <w:outlineLvl w:val="2"/>
        <w:rPr>
          <w:rFonts w:hint="eastAsia" w:ascii="黑体" w:eastAsia="黑体"/>
          <w:b/>
          <w:sz w:val="32"/>
          <w:szCs w:val="24"/>
          <w:lang w:val="en-US" w:eastAsia="zh-CN"/>
        </w:rPr>
      </w:pPr>
      <w:r>
        <w:rPr>
          <w:rFonts w:hint="eastAsia" w:ascii="黑体" w:eastAsia="黑体"/>
          <w:b/>
          <w:sz w:val="32"/>
          <w:szCs w:val="24"/>
        </w:rPr>
        <w:t>2022-2023学年第</w:t>
      </w:r>
      <w:r>
        <w:rPr>
          <w:rFonts w:hint="eastAsia" w:ascii="黑体" w:eastAsia="黑体"/>
          <w:b/>
          <w:sz w:val="32"/>
          <w:szCs w:val="24"/>
          <w:lang w:val="en-US" w:eastAsia="zh-CN"/>
        </w:rPr>
        <w:t>二</w:t>
      </w:r>
      <w:r>
        <w:rPr>
          <w:rFonts w:hint="eastAsia" w:ascii="黑体" w:eastAsia="黑体"/>
          <w:b/>
          <w:sz w:val="32"/>
          <w:szCs w:val="24"/>
        </w:rPr>
        <w:t>学期期末考试相关材料</w:t>
      </w:r>
      <w:r>
        <w:rPr>
          <w:rFonts w:hint="eastAsia" w:ascii="黑体" w:eastAsia="黑体"/>
          <w:b/>
          <w:sz w:val="32"/>
          <w:szCs w:val="24"/>
          <w:lang w:val="en-US" w:eastAsia="zh-CN"/>
        </w:rPr>
        <w:t>准备</w:t>
      </w:r>
    </w:p>
    <w:p>
      <w:pPr>
        <w:pStyle w:val="2"/>
        <w:kinsoku w:val="0"/>
        <w:overflowPunct w:val="0"/>
        <w:spacing w:before="132" w:line="360" w:lineRule="auto"/>
        <w:ind w:left="0"/>
        <w:jc w:val="both"/>
        <w:rPr>
          <w:rFonts w:hint="eastAsia" w:ascii="黑体" w:eastAsia="黑体"/>
          <w:b/>
          <w:sz w:val="32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二级学院名称：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         </w:t>
      </w:r>
      <w:r>
        <w:rPr>
          <w:rFonts w:hint="eastAsia" w:ascii="楷体_GB2312" w:eastAsia="楷体_GB2312"/>
          <w:sz w:val="24"/>
          <w:szCs w:val="24"/>
        </w:rPr>
        <w:t>专业教研室：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  <w:szCs w:val="24"/>
        </w:rPr>
        <w:t xml:space="preserve">     日期：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</w:t>
      </w:r>
      <w:r>
        <w:rPr>
          <w:rFonts w:hint="eastAsia" w:ascii="楷体_GB2312" w:eastAsia="楷体_GB2312"/>
          <w:sz w:val="24"/>
          <w:szCs w:val="24"/>
        </w:rPr>
        <w:t>年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</w:t>
      </w:r>
      <w:r>
        <w:rPr>
          <w:rFonts w:hint="eastAsia" w:ascii="楷体_GB2312" w:eastAsia="楷体_GB2312"/>
          <w:sz w:val="24"/>
          <w:szCs w:val="24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0"/>
        <w:gridCol w:w="1894"/>
        <w:gridCol w:w="1297"/>
        <w:gridCol w:w="1297"/>
        <w:gridCol w:w="1297"/>
        <w:gridCol w:w="1297"/>
        <w:gridCol w:w="1298"/>
        <w:gridCol w:w="1298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序号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eastAsia" w:ascii="楷体_GB2312" w:hAnsi="宋体" w:eastAsia="楷体_GB2312" w:cs="Times New Roman"/>
                <w:b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课程名称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eastAsia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课程类型（A\B\C)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default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课程学时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eastAsia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kern w:val="2"/>
                <w:sz w:val="24"/>
                <w:szCs w:val="24"/>
                <w:u w:val="none"/>
                <w:lang w:val="en-US" w:eastAsia="zh-CN"/>
              </w:rPr>
              <w:t>课程考核计划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eastAsia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kern w:val="2"/>
                <w:sz w:val="24"/>
                <w:szCs w:val="24"/>
                <w:u w:val="none"/>
                <w:lang w:val="en-US" w:eastAsia="zh-CN"/>
              </w:rPr>
              <w:t>课程结束时间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eastAsia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考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形式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eastAsia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kern w:val="2"/>
                <w:sz w:val="24"/>
                <w:szCs w:val="24"/>
                <w:u w:val="none"/>
                <w:lang w:val="en-US" w:eastAsia="zh-CN"/>
              </w:rPr>
              <w:t>考核时间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eastAsia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 w:val="0"/>
                <w:sz w:val="24"/>
                <w:szCs w:val="24"/>
                <w:u w:val="none"/>
                <w:vertAlign w:val="baseline"/>
                <w:lang w:val="en-US" w:eastAsia="zh-CN"/>
              </w:rPr>
              <w:t>是否考教分离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30"/>
              <w:widowControl/>
              <w:spacing w:afterLines="0" w:line="240" w:lineRule="exact"/>
              <w:jc w:val="center"/>
              <w:rPr>
                <w:rFonts w:hint="eastAsia" w:ascii="楷体_GB2312" w:hAnsi="宋体" w:eastAsia="楷体_GB2312" w:cs="Times New Roman"/>
                <w:b w:val="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b w:val="0"/>
                <w:sz w:val="24"/>
                <w:szCs w:val="24"/>
                <w:u w:val="none"/>
                <w:vertAlign w:val="baseline"/>
                <w:lang w:val="en-US" w:eastAsia="zh-CN"/>
              </w:rPr>
              <w:t>是否上交审批表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00" w:type="dxa"/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default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94" w:type="dxa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</w:p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</w:p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</w:p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附件</w:t>
      </w:r>
      <w:r>
        <w:rPr>
          <w:rFonts w:hint="eastAsia" w:ascii="黑体" w:eastAsia="黑体"/>
          <w:b/>
          <w:sz w:val="32"/>
          <w:szCs w:val="24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24"/>
        </w:rPr>
        <w:t>：</w:t>
      </w:r>
    </w:p>
    <w:p>
      <w:pPr>
        <w:pStyle w:val="5"/>
        <w:spacing w:beforeLines="0" w:after="312" w:afterLines="100" w:line="500" w:lineRule="exact"/>
        <w:jc w:val="center"/>
        <w:outlineLvl w:val="2"/>
        <w:rPr>
          <w:rFonts w:hint="eastAsia"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2022-2023学年第</w:t>
      </w:r>
      <w:r>
        <w:rPr>
          <w:rFonts w:hint="eastAsia" w:ascii="黑体" w:eastAsia="黑体"/>
          <w:b/>
          <w:sz w:val="32"/>
          <w:szCs w:val="24"/>
          <w:lang w:val="en-US" w:eastAsia="zh-CN"/>
        </w:rPr>
        <w:t>二</w:t>
      </w:r>
      <w:r>
        <w:rPr>
          <w:rFonts w:hint="eastAsia" w:ascii="黑体" w:eastAsia="黑体"/>
          <w:b/>
          <w:sz w:val="32"/>
          <w:szCs w:val="24"/>
        </w:rPr>
        <w:t>学期期末考试相关材料专项检查情况汇总</w:t>
      </w:r>
    </w:p>
    <w:p>
      <w:pPr>
        <w:pStyle w:val="2"/>
        <w:kinsoku w:val="0"/>
        <w:overflowPunct w:val="0"/>
        <w:spacing w:before="132" w:line="360" w:lineRule="auto"/>
        <w:ind w:left="0"/>
        <w:jc w:val="both"/>
        <w:rPr>
          <w:rFonts w:hint="eastAsia" w:ascii="Times New Roman" w:hAnsi="Times New Roman" w:eastAsia="Times New Roman"/>
          <w:sz w:val="28"/>
          <w:szCs w:val="24"/>
        </w:rPr>
      </w:pPr>
      <w:r>
        <w:rPr>
          <w:rFonts w:hint="eastAsia" w:ascii="楷体_GB2312" w:eastAsia="楷体_GB2312"/>
          <w:sz w:val="24"/>
          <w:szCs w:val="24"/>
        </w:rPr>
        <w:t>二级学院名称：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         </w:t>
      </w:r>
      <w:r>
        <w:rPr>
          <w:rFonts w:hint="eastAsia" w:ascii="楷体_GB2312" w:eastAsia="楷体_GB2312"/>
          <w:sz w:val="24"/>
          <w:szCs w:val="24"/>
        </w:rPr>
        <w:t>专业教研室：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  <w:szCs w:val="24"/>
        </w:rPr>
        <w:t xml:space="preserve">     日期：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</w:t>
      </w:r>
      <w:r>
        <w:rPr>
          <w:rFonts w:hint="eastAsia" w:ascii="楷体_GB2312" w:eastAsia="楷体_GB2312"/>
          <w:sz w:val="24"/>
          <w:szCs w:val="24"/>
        </w:rPr>
        <w:t>年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</w:t>
      </w:r>
      <w:r>
        <w:rPr>
          <w:rFonts w:hint="eastAsia" w:ascii="楷体_GB2312" w:eastAsia="楷体_GB2312"/>
          <w:sz w:val="24"/>
          <w:szCs w:val="24"/>
        </w:rPr>
        <w:t>日</w:t>
      </w:r>
    </w:p>
    <w:tbl>
      <w:tblPr>
        <w:tblStyle w:val="6"/>
        <w:tblW w:w="12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05"/>
        <w:gridCol w:w="1183"/>
        <w:gridCol w:w="1212"/>
        <w:gridCol w:w="1363"/>
        <w:gridCol w:w="1187"/>
        <w:gridCol w:w="1475"/>
        <w:gridCol w:w="1913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课程名称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考试形式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是否纸质化考试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试卷库试卷数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几种题型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课程考核考场记录单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课程考核违规考生情况记录表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阅卷是否规范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</w:tbl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</w:p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</w:p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附件</w:t>
      </w:r>
      <w:r>
        <w:rPr>
          <w:rFonts w:hint="eastAsia" w:ascii="黑体" w:eastAsia="黑体"/>
          <w:b/>
          <w:sz w:val="32"/>
          <w:szCs w:val="24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24"/>
        </w:rPr>
        <w:t>：</w:t>
      </w:r>
    </w:p>
    <w:p>
      <w:pPr>
        <w:pStyle w:val="5"/>
        <w:spacing w:beforeLines="0" w:after="312" w:afterLines="100" w:line="500" w:lineRule="exact"/>
        <w:jc w:val="center"/>
        <w:outlineLvl w:val="2"/>
        <w:rPr>
          <w:rFonts w:hint="eastAsia"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2022-2023学年第</w:t>
      </w:r>
      <w:r>
        <w:rPr>
          <w:rFonts w:hint="eastAsia" w:ascii="黑体" w:eastAsia="黑体"/>
          <w:b/>
          <w:sz w:val="32"/>
          <w:szCs w:val="24"/>
          <w:lang w:val="en-US" w:eastAsia="zh-CN"/>
        </w:rPr>
        <w:t>二</w:t>
      </w:r>
      <w:r>
        <w:rPr>
          <w:rFonts w:hint="eastAsia" w:ascii="黑体" w:eastAsia="黑体"/>
          <w:b/>
          <w:sz w:val="32"/>
          <w:szCs w:val="24"/>
        </w:rPr>
        <w:t>学期期末考试非纸质化考试课程情况汇总</w:t>
      </w:r>
    </w:p>
    <w:p>
      <w:pPr>
        <w:pStyle w:val="2"/>
        <w:kinsoku w:val="0"/>
        <w:overflowPunct w:val="0"/>
        <w:spacing w:before="132" w:line="360" w:lineRule="auto"/>
        <w:ind w:left="0"/>
        <w:jc w:val="both"/>
        <w:rPr>
          <w:rFonts w:hint="eastAsia" w:ascii="Times New Roman" w:hAnsi="Times New Roman" w:eastAsia="Times New Roman"/>
          <w:sz w:val="28"/>
          <w:szCs w:val="24"/>
        </w:rPr>
      </w:pPr>
      <w:r>
        <w:rPr>
          <w:rFonts w:hint="eastAsia" w:ascii="楷体_GB2312" w:eastAsia="楷体_GB2312"/>
          <w:sz w:val="24"/>
          <w:szCs w:val="24"/>
        </w:rPr>
        <w:t>二级学院名称：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         </w:t>
      </w:r>
      <w:r>
        <w:rPr>
          <w:rFonts w:hint="eastAsia" w:ascii="楷体_GB2312" w:eastAsia="楷体_GB2312"/>
          <w:sz w:val="24"/>
          <w:szCs w:val="24"/>
        </w:rPr>
        <w:t>专业教研室：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  <w:szCs w:val="24"/>
        </w:rPr>
        <w:t xml:space="preserve">     日期：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</w:t>
      </w:r>
      <w:r>
        <w:rPr>
          <w:rFonts w:hint="eastAsia" w:ascii="楷体_GB2312" w:eastAsia="楷体_GB2312"/>
          <w:sz w:val="24"/>
          <w:szCs w:val="24"/>
        </w:rPr>
        <w:t>年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</w:t>
      </w:r>
      <w:r>
        <w:rPr>
          <w:rFonts w:hint="eastAsia" w:ascii="楷体_GB2312" w:eastAsia="楷体_GB2312"/>
          <w:sz w:val="24"/>
          <w:szCs w:val="24"/>
        </w:rPr>
        <w:t>月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</w:t>
      </w:r>
      <w:r>
        <w:rPr>
          <w:rFonts w:hint="eastAsia" w:ascii="楷体_GB2312" w:eastAsia="楷体_GB2312"/>
          <w:sz w:val="24"/>
          <w:szCs w:val="24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87"/>
        <w:gridCol w:w="1238"/>
        <w:gridCol w:w="862"/>
        <w:gridCol w:w="1125"/>
        <w:gridCol w:w="1125"/>
        <w:gridCol w:w="3100"/>
        <w:gridCol w:w="1113"/>
        <w:gridCol w:w="110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序号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课程名称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课程类型（A\B\C)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考试形式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C类课实训计划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C类课实训日志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课程考核方案（考核时间、考核地点、监考老师、考核内容、评分标准）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试卷命题审核表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学生成绩单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考试材料存档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sz w:val="28"/>
                <w:szCs w:val="24"/>
              </w:rPr>
              <w:t>非纸质化考试课程</w:t>
            </w:r>
            <w:r>
              <w:rPr>
                <w:rFonts w:hint="eastAsia" w:ascii="楷体_GB2312" w:hAnsi="宋体" w:eastAsia="楷体_GB2312"/>
                <w:sz w:val="28"/>
                <w:szCs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4"/>
              </w:rPr>
              <w:t>门，占教研室总课程数的</w:t>
            </w:r>
            <w:r>
              <w:rPr>
                <w:rFonts w:hint="eastAsia" w:ascii="楷体_GB2312" w:hAnsi="宋体" w:eastAsia="楷体_GB2312"/>
                <w:sz w:val="28"/>
                <w:szCs w:val="24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8"/>
                <w:szCs w:val="24"/>
              </w:rPr>
              <w:t>%。</w:t>
            </w:r>
          </w:p>
        </w:tc>
      </w:tr>
    </w:tbl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</w:p>
    <w:p>
      <w:pPr>
        <w:pStyle w:val="5"/>
        <w:spacing w:beforeLines="0" w:afterLines="0" w:line="500" w:lineRule="exact"/>
        <w:outlineLvl w:val="2"/>
        <w:rPr>
          <w:rFonts w:hint="eastAsia"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附件</w:t>
      </w:r>
      <w:r>
        <w:rPr>
          <w:rFonts w:hint="eastAsia" w:ascii="黑体" w:eastAsia="黑体"/>
          <w:b/>
          <w:sz w:val="32"/>
          <w:szCs w:val="24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24"/>
        </w:rPr>
        <w:t>：</w:t>
      </w:r>
    </w:p>
    <w:p>
      <w:pPr>
        <w:pStyle w:val="5"/>
        <w:spacing w:beforeLines="0" w:after="312" w:afterLines="100" w:line="500" w:lineRule="exact"/>
        <w:jc w:val="center"/>
        <w:outlineLvl w:val="2"/>
        <w:rPr>
          <w:rFonts w:hint="eastAsia"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2022-2023学年第</w:t>
      </w:r>
      <w:r>
        <w:rPr>
          <w:rFonts w:hint="eastAsia" w:ascii="黑体" w:eastAsia="黑体"/>
          <w:b/>
          <w:sz w:val="32"/>
          <w:szCs w:val="24"/>
          <w:lang w:val="en-US" w:eastAsia="zh-CN"/>
        </w:rPr>
        <w:t>二</w:t>
      </w:r>
      <w:r>
        <w:rPr>
          <w:rFonts w:hint="eastAsia" w:ascii="黑体" w:eastAsia="黑体"/>
          <w:b/>
          <w:sz w:val="32"/>
          <w:szCs w:val="24"/>
        </w:rPr>
        <w:t>学期期末考试相关材料专项检查分组安排</w:t>
      </w:r>
    </w:p>
    <w:tbl>
      <w:tblPr>
        <w:tblStyle w:val="6"/>
        <w:tblW w:w="12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00"/>
        <w:gridCol w:w="2412"/>
        <w:gridCol w:w="6113"/>
        <w:gridCol w:w="987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带队组长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二级学院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参加人员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w w:val="9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  <w:szCs w:val="24"/>
              </w:rPr>
              <w:t>记录人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2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w w:val="9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  <w:szCs w:val="24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曾希君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农业与生物工程学院（乡村振兴学院）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刘观生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李东举、麻育胜、周林娟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吴翰林、林别雨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麻育胜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刘珍珍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韦海忠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机电与模具工程学院（长鹰无人机学院）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巩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鑫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穆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军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>吴天强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、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>张丽君、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徐微雅、罗  茜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吴天强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罗勇波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default" w:ascii="楷体_GB2312" w:hAnsi="宋体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黄  磊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经贸管理学院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张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静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王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峥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倪红霜、章日泉、赵宣博、韩伶俐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倪红霜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center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任亚丽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2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0"/>
              <w:widowControl/>
              <w:spacing w:beforeLines="0" w:afterLines="0" w:line="240" w:lineRule="exact"/>
              <w:jc w:val="left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备注：1.各组联络人协调检查时间（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月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日—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月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日），并通知组内成员；</w:t>
            </w:r>
          </w:p>
          <w:p>
            <w:pPr>
              <w:pStyle w:val="30"/>
              <w:widowControl/>
              <w:spacing w:beforeLines="0" w:afterLines="0" w:line="240" w:lineRule="exact"/>
              <w:jc w:val="left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     2.各组记录人负责记录、整理、汇总资料，撰写检查报告，于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月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日前将检查报告发给教务处徐微雅老师。</w:t>
            </w:r>
          </w:p>
        </w:tc>
      </w:tr>
    </w:tbl>
    <w:p>
      <w:pPr>
        <w:pStyle w:val="2"/>
        <w:kinsoku w:val="0"/>
        <w:overflowPunct w:val="0"/>
        <w:spacing w:before="132"/>
        <w:ind w:left="0"/>
        <w:rPr>
          <w:rFonts w:hint="eastAsia" w:ascii="楷体_GB2312" w:eastAsia="楷体_GB2312"/>
          <w:kern w:val="2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  <w:sectPr>
          <w:pgSz w:w="16840" w:h="11910" w:orient="landscape"/>
          <w:pgMar w:top="1587" w:right="1984" w:bottom="1474" w:left="2098" w:header="0" w:footer="1661" w:gutter="0"/>
          <w:lnNumType w:countBy="0" w:distance="360"/>
          <w:cols w:space="720" w:num="1"/>
        </w:sect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p>
      <w:pPr>
        <w:pStyle w:val="2"/>
        <w:kinsoku w:val="0"/>
        <w:overflowPunct w:val="0"/>
        <w:spacing w:before="132"/>
        <w:ind w:left="0"/>
        <w:rPr>
          <w:rFonts w:hint="eastAsia" w:ascii="Times New Roman" w:hAnsi="Times New Roman" w:eastAsia="Times New Roman"/>
          <w:sz w:val="28"/>
          <w:szCs w:val="24"/>
        </w:rPr>
      </w:pPr>
    </w:p>
    <w:tbl>
      <w:tblPr>
        <w:tblStyle w:val="6"/>
        <w:tblW w:w="0" w:type="auto"/>
        <w:tblInd w:w="41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exact"/>
        </w:trPr>
        <w:tc>
          <w:tcPr>
            <w:tcW w:w="937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25"/>
              <w:tabs>
                <w:tab w:val="left" w:pos="6128"/>
              </w:tabs>
              <w:kinsoku w:val="0"/>
              <w:overflowPunct w:val="0"/>
              <w:spacing w:line="314" w:lineRule="exact"/>
              <w:ind w:firstLine="140" w:firstLineChars="50"/>
              <w:jc w:val="both"/>
              <w:rPr>
                <w:rFonts w:hint="eastAsia" w:ascii="Times New Roman" w:eastAsia="Times New Roman"/>
                <w:sz w:val="24"/>
                <w:szCs w:val="24"/>
              </w:rPr>
            </w:pPr>
            <w:r>
              <w:rPr>
                <w:rFonts w:hint="eastAsia" w:ascii="Times New Roman" w:eastAsia="仿宋_GB2312"/>
                <w:kern w:val="2"/>
                <w:sz w:val="28"/>
                <w:szCs w:val="24"/>
              </w:rPr>
              <w:t xml:space="preserve">台州科技职业学院教务处  </w:t>
            </w:r>
            <w:r>
              <w:rPr>
                <w:rFonts w:hint="eastAsia" w:ascii="Times New Roman" w:eastAsia="Times New Roman"/>
                <w:kern w:val="2"/>
                <w:sz w:val="28"/>
                <w:szCs w:val="24"/>
              </w:rPr>
              <w:t xml:space="preserve">  </w:t>
            </w:r>
            <w:r>
              <w:rPr>
                <w:rFonts w:hint="eastAsia" w:ascii="Times New Roman" w:eastAsia="仿宋_GB2312"/>
                <w:kern w:val="2"/>
                <w:sz w:val="28"/>
                <w:szCs w:val="24"/>
              </w:rPr>
              <w:t>教学督导与质量评估处</w:t>
            </w:r>
            <w:r>
              <w:rPr>
                <w:rFonts w:hint="eastAsia" w:ascii="Times New Roman" w:eastAsia="Times New Roman"/>
                <w:kern w:val="2"/>
                <w:sz w:val="28"/>
                <w:szCs w:val="24"/>
              </w:rPr>
              <w:t xml:space="preserve">      202</w:t>
            </w:r>
            <w:r>
              <w:rPr>
                <w:rFonts w:hint="eastAsia" w:ascii="Times New Roman" w:eastAsia="仿宋_GB2312"/>
                <w:kern w:val="2"/>
                <w:sz w:val="28"/>
                <w:szCs w:val="24"/>
              </w:rPr>
              <w:t>3年</w:t>
            </w:r>
            <w:r>
              <w:rPr>
                <w:rFonts w:hint="eastAsia" w:ascii="Times New Roman" w:eastAsia="仿宋_GB2312"/>
                <w:kern w:val="2"/>
                <w:sz w:val="28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eastAsia="仿宋_GB2312"/>
                <w:kern w:val="2"/>
                <w:sz w:val="28"/>
                <w:szCs w:val="24"/>
              </w:rPr>
              <w:t>月</w:t>
            </w:r>
            <w:r>
              <w:rPr>
                <w:rFonts w:hint="eastAsia" w:ascii="Times New Roman" w:eastAsia="仿宋_GB2312"/>
                <w:kern w:val="2"/>
                <w:sz w:val="28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eastAsia="仿宋_GB2312"/>
                <w:kern w:val="2"/>
                <w:sz w:val="28"/>
                <w:szCs w:val="24"/>
              </w:rPr>
              <w:t>日印发</w:t>
            </w:r>
          </w:p>
        </w:tc>
      </w:tr>
    </w:tbl>
    <w:p>
      <w:pPr>
        <w:spacing w:line="40" w:lineRule="exact"/>
        <w:rPr>
          <w:rFonts w:hint="eastAsia" w:ascii="Times New Roman" w:eastAsia="Times New Roman"/>
          <w:sz w:val="24"/>
          <w:szCs w:val="24"/>
        </w:rPr>
      </w:pPr>
    </w:p>
    <w:sectPr>
      <w:pgSz w:w="11910" w:h="16840"/>
      <w:pgMar w:top="1984" w:right="1474" w:bottom="2098" w:left="1587" w:header="0" w:footer="166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hint="default"/>
        <w:sz w:val="20"/>
        <w:szCs w:val="24"/>
      </w:rPr>
    </w:pPr>
    <w:r>
      <w:rPr>
        <w:rFonts w:hint="default"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0390" cy="46101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default" w:hAnsi="宋体"/>
                              <w:sz w:val="28"/>
                              <w:szCs w:val="24"/>
                            </w:rPr>
                            <w:t>－</w:t>
                          </w:r>
                          <w:r>
                            <w:rPr>
                              <w:rFonts w:hint="default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hAnsi="宋体"/>
                              <w:sz w:val="28"/>
                              <w:szCs w:val="24"/>
                            </w:rPr>
                            <w:t>－</w:t>
                          </w:r>
                        </w:p>
                      </w:txbxContent>
                    </wps:txbx>
                    <wps:bodyPr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36.3pt;width:45.7pt;mso-position-horizontal:center;mso-position-horizontal-relative:margin;z-index:251659264;mso-width-relative:page;mso-height-relative:page;" filled="f" stroked="f" coordsize="21600,21600" o:gfxdata="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17IpdQAAAADAQAADwAAAAAAAAABACAA&#10;AAAiAAAAZHJzL2Rvd25yZXYueG1sUEsBAhQAFAAAAAgAh07iQN81K9nYAQAApAMAAA4AAAAAAAAA&#10;AQAgAAAAI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/>
                        <w:sz w:val="28"/>
                        <w:szCs w:val="24"/>
                      </w:rPr>
                    </w:pPr>
                    <w:r>
                      <w:rPr>
                        <w:rFonts w:hint="default" w:hAnsi="宋体"/>
                        <w:sz w:val="28"/>
                        <w:szCs w:val="24"/>
                      </w:rPr>
                      <w:t>－</w:t>
                    </w:r>
                    <w:r>
                      <w:rPr>
                        <w:rFonts w:hint="default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default"/>
                        <w:sz w:val="2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28"/>
                        <w:szCs w:val="24"/>
                      </w:rPr>
                      <w:t>2</w:t>
                    </w:r>
                    <w:r>
                      <w:rPr>
                        <w:rFonts w:hint="default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hint="default" w:hAnsi="宋体"/>
                        <w:sz w:val="28"/>
                        <w:szCs w:val="24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Times New Roman" w:eastAsia="Times New Roman"/>
        <w:sz w:val="18"/>
        <w:szCs w:val="24"/>
      </w:rPr>
    </w:pPr>
  </w:p>
  <w:p>
    <w:pPr>
      <w:pStyle w:val="2"/>
      <w:kinsoku w:val="0"/>
      <w:overflowPunct w:val="0"/>
      <w:spacing w:line="14" w:lineRule="auto"/>
      <w:ind w:left="0"/>
      <w:rPr>
        <w:rFonts w:hint="default"/>
        <w:sz w:val="20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1528D8"/>
    <w:rsid w:val="162A2263"/>
    <w:rsid w:val="1CC65382"/>
    <w:rsid w:val="366108DC"/>
    <w:rsid w:val="4668289C"/>
    <w:rsid w:val="538C051D"/>
    <w:rsid w:val="57CD2DF0"/>
    <w:rsid w:val="795D311A"/>
    <w:rsid w:val="7B7000F5"/>
    <w:rsid w:val="7BE93580"/>
    <w:rsid w:val="7CD30E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0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iPriority="1" w:semiHidden="0" w:name="List Paragraph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宋体" w:hAnsi="Times New Roman" w:eastAsia="宋体"/>
      <w:sz w:val="24"/>
      <w:szCs w:val="24"/>
      <w:lang w:val="en-US" w:eastAsia="zh-CN"/>
    </w:rPr>
  </w:style>
  <w:style w:type="character" w:default="1" w:styleId="8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1"/>
    <w:pPr>
      <w:ind w:left="772"/>
    </w:pPr>
    <w:rPr>
      <w:rFonts w:hint="default" w:hAnsi="宋体"/>
      <w:sz w:val="32"/>
      <w:szCs w:val="24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  <w:szCs w:val="24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24"/>
    </w:rPr>
  </w:style>
  <w:style w:type="paragraph" w:styleId="5">
    <w:name w:val="Normal (Web)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Times New Roman"/>
      <w:kern w:val="2"/>
      <w:sz w:val="24"/>
      <w:szCs w:val="24"/>
      <w:lang w:val="en-US" w:eastAsia="zh-CN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nhideWhenUsed/>
    <w:uiPriority w:val="99"/>
    <w:rPr>
      <w:rFonts w:hint="default"/>
      <w:color w:val="800080"/>
      <w:sz w:val="24"/>
      <w:szCs w:val="24"/>
      <w:u w:val="single"/>
    </w:rPr>
  </w:style>
  <w:style w:type="character" w:styleId="10">
    <w:name w:val="Hyperlink"/>
    <w:unhideWhenUsed/>
    <w:uiPriority w:val="99"/>
    <w:rPr>
      <w:rFonts w:hint="default"/>
      <w:color w:val="0000FF"/>
      <w:sz w:val="24"/>
      <w:szCs w:val="24"/>
      <w:u w:val="single"/>
    </w:rPr>
  </w:style>
  <w:style w:type="character" w:customStyle="1" w:styleId="11">
    <w:name w:val="本文 (文字)"/>
    <w:link w:val="2"/>
    <w:unhideWhenUsed/>
    <w:locked/>
    <w:uiPriority w:val="99"/>
    <w:rPr>
      <w:rFonts w:hint="default"/>
      <w:sz w:val="24"/>
      <w:szCs w:val="24"/>
    </w:rPr>
  </w:style>
  <w:style w:type="character" w:customStyle="1" w:styleId="12">
    <w:name w:val="フッター (文字)"/>
    <w:link w:val="3"/>
    <w:unhideWhenUsed/>
    <w:locked/>
    <w:uiPriority w:val="99"/>
    <w:rPr>
      <w:rFonts w:hint="default"/>
      <w:sz w:val="18"/>
      <w:szCs w:val="24"/>
    </w:rPr>
  </w:style>
  <w:style w:type="character" w:customStyle="1" w:styleId="13">
    <w:name w:val="ヘッダー (文字)"/>
    <w:link w:val="4"/>
    <w:unhideWhenUsed/>
    <w:locked/>
    <w:uiPriority w:val="99"/>
    <w:rPr>
      <w:rFonts w:hint="default"/>
      <w:sz w:val="18"/>
      <w:szCs w:val="24"/>
    </w:rPr>
  </w:style>
  <w:style w:type="paragraph" w:customStyle="1" w:styleId="14">
    <w:name w:val="xl85"/>
    <w:basedOn w:val="1"/>
    <w:unhideWhenUsed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sz w:val="22"/>
      <w:szCs w:val="24"/>
    </w:rPr>
  </w:style>
  <w:style w:type="paragraph" w:customStyle="1" w:styleId="15">
    <w:name w:val="xl83"/>
    <w:basedOn w:val="1"/>
    <w:unhideWhenUsed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sz w:val="22"/>
      <w:szCs w:val="24"/>
    </w:rPr>
  </w:style>
  <w:style w:type="paragraph" w:customStyle="1" w:styleId="16">
    <w:name w:val="xl73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sz w:val="22"/>
      <w:szCs w:val="24"/>
    </w:rPr>
  </w:style>
  <w:style w:type="paragraph" w:customStyle="1" w:styleId="17">
    <w:name w:val="xl82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customStyle="1" w:styleId="18">
    <w:name w:val="xl88"/>
    <w:basedOn w:val="1"/>
    <w:unhideWhenUsed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sz w:val="22"/>
      <w:szCs w:val="24"/>
    </w:rPr>
  </w:style>
  <w:style w:type="paragraph" w:customStyle="1" w:styleId="19">
    <w:name w:val="xl86"/>
    <w:basedOn w:val="1"/>
    <w:unhideWhenUsed/>
    <w:uiPriority w:val="0"/>
    <w:pPr>
      <w:widowControl/>
      <w:pBdr>
        <w:top w:val="single" w:color="auto" w:sz="4" w:space="0"/>
        <w:left w:val="single" w:color="000000" w:sz="4" w:space="0"/>
        <w:bottom w:val="single" w:color="000000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sz w:val="22"/>
      <w:szCs w:val="24"/>
    </w:rPr>
  </w:style>
  <w:style w:type="paragraph" w:customStyle="1" w:styleId="20">
    <w:name w:val="xl79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customStyle="1" w:styleId="21">
    <w:name w:val="xl76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customStyle="1" w:styleId="22">
    <w:name w:val="xl90"/>
    <w:basedOn w:val="1"/>
    <w:unhideWhenUsed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sz w:val="22"/>
      <w:szCs w:val="24"/>
    </w:rPr>
  </w:style>
  <w:style w:type="paragraph" w:customStyle="1" w:styleId="23">
    <w:name w:val="xl75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sz w:val="22"/>
      <w:szCs w:val="24"/>
    </w:rPr>
  </w:style>
  <w:style w:type="paragraph" w:customStyle="1" w:styleId="24">
    <w:name w:val="xl78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customStyle="1" w:styleId="25">
    <w:name w:val="Table Paragraph"/>
    <w:basedOn w:val="1"/>
    <w:unhideWhenUsed/>
    <w:qFormat/>
    <w:uiPriority w:val="1"/>
    <w:rPr>
      <w:rFonts w:hint="default"/>
      <w:sz w:val="24"/>
      <w:szCs w:val="24"/>
    </w:rPr>
  </w:style>
  <w:style w:type="paragraph" w:customStyle="1" w:styleId="26">
    <w:name w:val="msonormal"/>
    <w:basedOn w:val="1"/>
    <w:unhideWhenUsed/>
    <w:uiPriority w:val="0"/>
    <w:pPr>
      <w:widowControl/>
      <w:autoSpaceDE/>
      <w:autoSpaceDN/>
      <w:adjustRightInd/>
      <w:spacing w:before="100" w:beforeAutospacing="1" w:after="100" w:afterAutospacing="1"/>
    </w:pPr>
    <w:rPr>
      <w:rFonts w:hint="default" w:hAnsi="宋体"/>
      <w:sz w:val="24"/>
      <w:szCs w:val="24"/>
    </w:rPr>
  </w:style>
  <w:style w:type="paragraph" w:customStyle="1" w:styleId="27">
    <w:name w:val="xl87"/>
    <w:basedOn w:val="1"/>
    <w:unhideWhenUsed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customStyle="1" w:styleId="28">
    <w:name w:val="font5"/>
    <w:basedOn w:val="1"/>
    <w:unhideWhenUsed/>
    <w:uiPriority w:val="0"/>
    <w:pPr>
      <w:widowControl/>
      <w:autoSpaceDE/>
      <w:autoSpaceDN/>
      <w:adjustRightInd/>
      <w:spacing w:before="100" w:beforeAutospacing="1" w:after="100" w:afterAutospacing="1"/>
    </w:pPr>
    <w:rPr>
      <w:rFonts w:hint="default" w:hAnsi="宋体"/>
      <w:sz w:val="18"/>
      <w:szCs w:val="24"/>
    </w:rPr>
  </w:style>
  <w:style w:type="paragraph" w:customStyle="1" w:styleId="29">
    <w:name w:val="xl72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sz w:val="22"/>
      <w:szCs w:val="24"/>
    </w:rPr>
  </w:style>
  <w:style w:type="paragraph" w:customStyle="1" w:styleId="30">
    <w:name w:val="st0420"/>
    <w:unhideWhenUsed/>
    <w:qFormat/>
    <w:uiPriority w:val="0"/>
    <w:pPr>
      <w:widowControl w:val="0"/>
      <w:spacing w:beforeLines="0" w:afterLines="0" w:line="400" w:lineRule="exact"/>
      <w:jc w:val="both"/>
    </w:pPr>
    <w:rPr>
      <w:rFonts w:hint="default" w:ascii="宋体" w:hAnsi="Times New Roman" w:eastAsia="宋体"/>
      <w:kern w:val="2"/>
      <w:sz w:val="24"/>
      <w:szCs w:val="24"/>
      <w:lang w:val="en-US" w:eastAsia="zh-CN"/>
    </w:rPr>
  </w:style>
  <w:style w:type="paragraph" w:customStyle="1" w:styleId="31">
    <w:name w:val="xl81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int="default" w:hAnsi="宋体"/>
      <w:sz w:val="22"/>
      <w:szCs w:val="24"/>
    </w:rPr>
  </w:style>
  <w:style w:type="paragraph" w:customStyle="1" w:styleId="32">
    <w:name w:val="st515"/>
    <w:unhideWhenUsed/>
    <w:qFormat/>
    <w:uiPriority w:val="0"/>
    <w:pPr>
      <w:widowControl w:val="0"/>
      <w:spacing w:beforeLines="0" w:afterLines="0" w:line="300" w:lineRule="exact"/>
      <w:jc w:val="both"/>
    </w:pPr>
    <w:rPr>
      <w:rFonts w:hint="default" w:ascii="宋体" w:hAnsi="Times New Roman" w:eastAsia="宋体"/>
      <w:kern w:val="2"/>
      <w:sz w:val="21"/>
      <w:szCs w:val="24"/>
      <w:lang w:val="en-US" w:eastAsia="zh-CN"/>
    </w:rPr>
  </w:style>
  <w:style w:type="paragraph" w:customStyle="1" w:styleId="33">
    <w:name w:val="xl77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customStyle="1" w:styleId="34">
    <w:name w:val="xl84"/>
    <w:basedOn w:val="1"/>
    <w:unhideWhenUsed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customStyle="1" w:styleId="35">
    <w:name w:val="xl89"/>
    <w:basedOn w:val="1"/>
    <w:unhideWhenUsed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customStyle="1" w:styleId="36">
    <w:name w:val="xl71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b/>
      <w:sz w:val="24"/>
      <w:szCs w:val="24"/>
    </w:rPr>
  </w:style>
  <w:style w:type="paragraph" w:customStyle="1" w:styleId="37">
    <w:name w:val="xl74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paragraph" w:styleId="38">
    <w:name w:val="List Paragraph"/>
    <w:basedOn w:val="1"/>
    <w:unhideWhenUsed/>
    <w:qFormat/>
    <w:uiPriority w:val="1"/>
    <w:rPr>
      <w:rFonts w:hint="default"/>
      <w:sz w:val="24"/>
      <w:szCs w:val="24"/>
    </w:rPr>
  </w:style>
  <w:style w:type="paragraph" w:customStyle="1" w:styleId="39">
    <w:name w:val="xl80"/>
    <w:basedOn w:val="1"/>
    <w:unhideWhenUsed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hint="default" w:hAnsi="宋体"/>
      <w:color w:val="000000"/>
      <w:sz w:val="22"/>
      <w:szCs w:val="24"/>
    </w:rPr>
  </w:style>
  <w:style w:type="character" w:customStyle="1" w:styleId="40">
    <w:name w:val="font51"/>
    <w:unhideWhenUsed/>
    <w:qFormat/>
    <w:uiPriority w:val="0"/>
    <w:rPr>
      <w:rFonts w:hint="default" w:ascii="宋体" w:hAnsi="宋体" w:eastAsia="宋体"/>
      <w:b/>
      <w:color w:val="00000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1660</Words>
  <Characters>1790</Characters>
  <TotalTime>0</TotalTime>
  <ScaleCrop>false</ScaleCrop>
  <LinksUpToDate>false</LinksUpToDate>
  <CharactersWithSpaces>2064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2023-03-21T01:19:27Z</dcterms:created>
  <dc:creator>wei</dc:creator>
  <cp:lastModifiedBy>我不是微雅</cp:lastModifiedBy>
  <dcterms:modified xsi:type="dcterms:W3CDTF">2023-09-04T01:21:26Z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F352E80CB8634CF78073711723C0BC31_13</vt:lpwstr>
  </property>
</Properties>
</file>